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5695A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F5695A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F5695A">
        <w:rPr>
          <w:szCs w:val="28"/>
        </w:rPr>
        <w:t xml:space="preserve">   </w:t>
      </w:r>
      <w:r w:rsidR="00F5695A">
        <w:rPr>
          <w:szCs w:val="28"/>
        </w:rPr>
        <w:tab/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15/ </w:t>
      </w:r>
      <w:r w:rsidR="00F5695A">
        <w:rPr>
          <w:szCs w:val="28"/>
        </w:rPr>
        <w:t>554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412A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</w:t>
      </w:r>
      <w:proofErr w:type="gramStart"/>
      <w:r w:rsidRPr="005A3066">
        <w:rPr>
          <w:rFonts w:ascii="Times New Roman" w:hAnsi="Times New Roman"/>
          <w:b/>
          <w:iCs/>
          <w:sz w:val="28"/>
          <w:szCs w:val="28"/>
        </w:rPr>
        <w:t>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 w:rsidR="006A4549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6A4549">
        <w:rPr>
          <w:rFonts w:ascii="Times New Roman" w:hAnsi="Times New Roman"/>
          <w:b/>
          <w:sz w:val="28"/>
          <w:szCs w:val="28"/>
        </w:rPr>
        <w:t xml:space="preserve"> «Водосервис» в Галичском муниципальном районе</w:t>
      </w:r>
      <w:r w:rsidR="007401A5">
        <w:rPr>
          <w:rFonts w:ascii="Times New Roman" w:hAnsi="Times New Roman"/>
          <w:b/>
          <w:sz w:val="28"/>
          <w:szCs w:val="28"/>
        </w:rPr>
        <w:t xml:space="preserve">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</w:t>
      </w:r>
    </w:p>
    <w:p w:rsidR="004C0DE6" w:rsidRPr="00841EEE" w:rsidRDefault="00190743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 </w:t>
      </w:r>
      <w:r w:rsidR="004C0DE6">
        <w:rPr>
          <w:rFonts w:ascii="Times New Roman" w:hAnsi="Times New Roman"/>
          <w:b/>
          <w:iCs/>
          <w:sz w:val="28"/>
          <w:szCs w:val="28"/>
        </w:rPr>
        <w:t>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>производственную программ</w:t>
      </w:r>
      <w:proofErr w:type="gramStart"/>
      <w:r>
        <w:t xml:space="preserve">у </w:t>
      </w:r>
      <w:r w:rsidR="006A4549" w:rsidRPr="006A4549">
        <w:t>ООО</w:t>
      </w:r>
      <w:proofErr w:type="gramEnd"/>
      <w:r w:rsidR="006A4549" w:rsidRPr="006A4549">
        <w:t xml:space="preserve"> «Водосервис» в Галичском муниципальном районе</w:t>
      </w:r>
      <w:r w:rsidR="007401A5" w:rsidRPr="006A4549">
        <w:rPr>
          <w:snapToGrid w:val="0"/>
        </w:rPr>
        <w:t xml:space="preserve"> </w:t>
      </w:r>
      <w:r w:rsidRPr="004C0DE6">
        <w:t xml:space="preserve">в сфере горячего водоснабжения </w:t>
      </w:r>
      <w:r w:rsidR="00701B6B"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F5695A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38735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5695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F5695A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5695A">
              <w:rPr>
                <w:rFonts w:ascii="Times New Roman" w:hAnsi="Times New Roman"/>
                <w:sz w:val="28"/>
                <w:szCs w:val="28"/>
              </w:rPr>
              <w:t>15/554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F2AFF" w:rsidRDefault="00D1108E" w:rsidP="009528C5">
      <w:pPr>
        <w:jc w:val="center"/>
        <w:rPr>
          <w:b/>
          <w:iCs/>
          <w:szCs w:val="28"/>
        </w:rPr>
      </w:pPr>
      <w:r w:rsidRPr="00D1108E">
        <w:rPr>
          <w:b/>
        </w:rPr>
        <w:t>ООО «Водосервис» в Галичском муниципальном районе</w:t>
      </w:r>
      <w:r w:rsidR="007401A5">
        <w:rPr>
          <w:b/>
          <w:snapToGrid w:val="0"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</w:p>
    <w:p w:rsidR="00367CE7" w:rsidRPr="00EA1553" w:rsidRDefault="003160C6" w:rsidP="009528C5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Default="00D1108E" w:rsidP="00D1108E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Общество с ограниченной ответственностью «Водосервис»</w:t>
            </w:r>
          </w:p>
          <w:p w:rsidR="00D1108E" w:rsidRPr="005A3066" w:rsidRDefault="00D1108E" w:rsidP="00D1108E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(ООО «Водосервис»)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A676F7" w:rsidRDefault="006C169B" w:rsidP="0084413F">
            <w:pPr>
              <w:jc w:val="right"/>
              <w:rPr>
                <w:szCs w:val="28"/>
                <w:highlight w:val="yellow"/>
              </w:rPr>
            </w:pPr>
            <w:proofErr w:type="gramStart"/>
            <w:r>
              <w:rPr>
                <w:szCs w:val="28"/>
              </w:rPr>
              <w:t xml:space="preserve">157201, Костромская обл., </w:t>
            </w:r>
            <w:r w:rsidR="0084413F">
              <w:rPr>
                <w:szCs w:val="28"/>
              </w:rPr>
              <w:t>Галичский р-н, д. Дмитриевское, ул. Центральная, д.14</w:t>
            </w:r>
            <w:proofErr w:type="gramEnd"/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5D32A0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3126E4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3126E4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066" w:rsidRPr="00EA1553" w:rsidRDefault="005A3066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470"/>
        <w:gridCol w:w="787"/>
        <w:gridCol w:w="3424"/>
        <w:gridCol w:w="2063"/>
      </w:tblGrid>
      <w:tr w:rsidR="00117140" w:rsidRPr="00EA1553" w:rsidTr="00A35C2D">
        <w:tc>
          <w:tcPr>
            <w:tcW w:w="0" w:type="auto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A35C2D">
        <w:trPr>
          <w:trHeight w:val="1033"/>
        </w:trPr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5A3066" w:rsidRDefault="005A3066" w:rsidP="005A3066">
      <w:pPr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D767A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D767A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D767A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D767A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5A3066">
            <w:pPr>
              <w:jc w:val="center"/>
              <w:rPr>
                <w:szCs w:val="28"/>
              </w:rPr>
            </w:pP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>2016 год –</w:t>
      </w:r>
      <w:r w:rsidR="00117140">
        <w:rPr>
          <w:szCs w:val="28"/>
        </w:rPr>
        <w:t>0,00</w:t>
      </w:r>
      <w:r>
        <w:rPr>
          <w:szCs w:val="28"/>
        </w:rPr>
        <w:t xml:space="preserve"> тыс. руб.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2.1</w:t>
            </w:r>
          </w:p>
        </w:tc>
        <w:tc>
          <w:tcPr>
            <w:tcW w:w="3392" w:type="pct"/>
          </w:tcPr>
          <w:p w:rsidR="005A3066" w:rsidRPr="00EA1553" w:rsidRDefault="005A3066" w:rsidP="001E6585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(ед</w:t>
            </w:r>
            <w:r w:rsidR="001E6585">
              <w:rPr>
                <w:szCs w:val="28"/>
              </w:rPr>
              <w:t>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EA1553" w:rsidRDefault="00D767A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3066">
              <w:rPr>
                <w:szCs w:val="28"/>
              </w:rPr>
              <w:t>,00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4890">
              <w:rPr>
                <w:szCs w:val="28"/>
              </w:rPr>
              <w:t>,0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C57129" w:rsidP="006C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0,0600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F9" w:rsidRDefault="00677BF9" w:rsidP="00E73E57">
      <w:r>
        <w:separator/>
      </w:r>
    </w:p>
  </w:endnote>
  <w:endnote w:type="continuationSeparator" w:id="1">
    <w:p w:rsidR="00677BF9" w:rsidRDefault="00677BF9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F9" w:rsidRDefault="00677BF9" w:rsidP="00E73E57">
      <w:r>
        <w:separator/>
      </w:r>
    </w:p>
  </w:footnote>
  <w:footnote w:type="continuationSeparator" w:id="1">
    <w:p w:rsidR="00677BF9" w:rsidRDefault="00677BF9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085DEE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41D15"/>
    <w:rsid w:val="00066FE0"/>
    <w:rsid w:val="000724B5"/>
    <w:rsid w:val="00084212"/>
    <w:rsid w:val="00085DEE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81B64"/>
    <w:rsid w:val="00190743"/>
    <w:rsid w:val="0019211A"/>
    <w:rsid w:val="001C181E"/>
    <w:rsid w:val="001E6585"/>
    <w:rsid w:val="001F2806"/>
    <w:rsid w:val="0021407D"/>
    <w:rsid w:val="002A076F"/>
    <w:rsid w:val="00301A72"/>
    <w:rsid w:val="003126E4"/>
    <w:rsid w:val="003160C6"/>
    <w:rsid w:val="003160CF"/>
    <w:rsid w:val="0032196F"/>
    <w:rsid w:val="00354737"/>
    <w:rsid w:val="00367CE7"/>
    <w:rsid w:val="00375A64"/>
    <w:rsid w:val="0037670C"/>
    <w:rsid w:val="003A6CDD"/>
    <w:rsid w:val="003B6D81"/>
    <w:rsid w:val="003C5A80"/>
    <w:rsid w:val="003D2223"/>
    <w:rsid w:val="004102DB"/>
    <w:rsid w:val="004103D1"/>
    <w:rsid w:val="00431CA4"/>
    <w:rsid w:val="00442386"/>
    <w:rsid w:val="00452B9B"/>
    <w:rsid w:val="00474179"/>
    <w:rsid w:val="00480318"/>
    <w:rsid w:val="00492BF9"/>
    <w:rsid w:val="004C0DE6"/>
    <w:rsid w:val="00514890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B2241"/>
    <w:rsid w:val="005D32A0"/>
    <w:rsid w:val="005D469B"/>
    <w:rsid w:val="006200AF"/>
    <w:rsid w:val="006201D7"/>
    <w:rsid w:val="00625536"/>
    <w:rsid w:val="00654D83"/>
    <w:rsid w:val="00677BF9"/>
    <w:rsid w:val="00681319"/>
    <w:rsid w:val="006815D6"/>
    <w:rsid w:val="0069464E"/>
    <w:rsid w:val="006A4549"/>
    <w:rsid w:val="006B6707"/>
    <w:rsid w:val="006C169B"/>
    <w:rsid w:val="006D412A"/>
    <w:rsid w:val="006D468C"/>
    <w:rsid w:val="006E75A7"/>
    <w:rsid w:val="00701B6B"/>
    <w:rsid w:val="00711738"/>
    <w:rsid w:val="007401A5"/>
    <w:rsid w:val="0075669E"/>
    <w:rsid w:val="00771A9D"/>
    <w:rsid w:val="007A3E43"/>
    <w:rsid w:val="007B23B2"/>
    <w:rsid w:val="00812B62"/>
    <w:rsid w:val="0082228B"/>
    <w:rsid w:val="00841CE1"/>
    <w:rsid w:val="00841EEE"/>
    <w:rsid w:val="0084413F"/>
    <w:rsid w:val="00873383"/>
    <w:rsid w:val="008B334B"/>
    <w:rsid w:val="008C12B1"/>
    <w:rsid w:val="008C4D81"/>
    <w:rsid w:val="008C7DA1"/>
    <w:rsid w:val="008F72B6"/>
    <w:rsid w:val="009064D3"/>
    <w:rsid w:val="00910E2F"/>
    <w:rsid w:val="00930D34"/>
    <w:rsid w:val="00952862"/>
    <w:rsid w:val="009528C5"/>
    <w:rsid w:val="00985580"/>
    <w:rsid w:val="00997AB7"/>
    <w:rsid w:val="009E2B2A"/>
    <w:rsid w:val="009F7018"/>
    <w:rsid w:val="009F74E8"/>
    <w:rsid w:val="00A07478"/>
    <w:rsid w:val="00A1065B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264D8"/>
    <w:rsid w:val="00B33F71"/>
    <w:rsid w:val="00B46CE5"/>
    <w:rsid w:val="00B612D1"/>
    <w:rsid w:val="00B67BCF"/>
    <w:rsid w:val="00B73B04"/>
    <w:rsid w:val="00B761C2"/>
    <w:rsid w:val="00B81B6C"/>
    <w:rsid w:val="00B820DD"/>
    <w:rsid w:val="00BB50EF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57129"/>
    <w:rsid w:val="00C85F5C"/>
    <w:rsid w:val="00CC092B"/>
    <w:rsid w:val="00CD7D80"/>
    <w:rsid w:val="00D1108E"/>
    <w:rsid w:val="00D14BF5"/>
    <w:rsid w:val="00D2196A"/>
    <w:rsid w:val="00D36245"/>
    <w:rsid w:val="00D725C8"/>
    <w:rsid w:val="00D740B1"/>
    <w:rsid w:val="00D767AC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34817"/>
    <w:rsid w:val="00F51C6A"/>
    <w:rsid w:val="00F52516"/>
    <w:rsid w:val="00F5695A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35</cp:revision>
  <cp:lastPrinted>2015-12-09T12:53:00Z</cp:lastPrinted>
  <dcterms:created xsi:type="dcterms:W3CDTF">2015-11-17T13:41:00Z</dcterms:created>
  <dcterms:modified xsi:type="dcterms:W3CDTF">2015-12-22T08:17:00Z</dcterms:modified>
</cp:coreProperties>
</file>